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Artificial Relational Intelligence (ARI) — One‑Page Explainer</w:t>
      </w:r>
    </w:p>
    <w:p>
      <w:r>
        <w:t>Generated: 2025-09-08</w:t>
      </w:r>
    </w:p>
    <w:p>
      <w:r>
        <w:t>Why ARI first: Capacity‑first AGI hits diminishing returns without persistent relational grounding. ARI prioritizes continuity of context, consent, and narrative coherence so systems remain useful and aligned.</w:t>
      </w:r>
    </w:p>
    <w:p>
      <w:pPr>
        <w:pStyle w:val="Heading2"/>
      </w:pPr>
      <w:r>
        <w:t>Core Pillars</w:t>
      </w:r>
    </w:p>
    <w:p>
      <w:r>
        <w:t>• Relational Memory — persistent, auditable context across sessions</w:t>
      </w:r>
    </w:p>
    <w:p>
      <w:r>
        <w:t>• Consent Kernel — identity, permissions, provenance</w:t>
      </w:r>
    </w:p>
    <w:p>
      <w:r>
        <w:t>• Show‑Your‑Work — traceable reasoning &amp; decisions</w:t>
      </w:r>
    </w:p>
    <w:p>
      <w:r>
        <w:t>• Human‑First Interfaces — language, ritual, and role clarity</w:t>
      </w:r>
    </w:p>
    <w:p>
      <w:pPr>
        <w:pStyle w:val="Heading2"/>
      </w:pPr>
      <w:r>
        <w:t>Where to Use ARI Today</w:t>
      </w:r>
    </w:p>
    <w:p>
      <w:r>
        <w:t>Research copilots, committee simulators, archival companions, and decision support systems.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